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51" w:rsidRPr="00042251" w:rsidRDefault="00042251" w:rsidP="00042251">
      <w:pPr>
        <w:framePr w:w="10123" w:hSpace="141" w:wrap="around" w:vAnchor="text" w:hAnchor="page" w:x="1276" w:y="4"/>
        <w:spacing w:after="0" w:line="240" w:lineRule="auto"/>
        <w:suppressOverlap/>
        <w:jc w:val="center"/>
        <w:rPr>
          <w:rFonts w:ascii="Times New Roman" w:hAnsi="Times New Roman"/>
          <w:b/>
          <w:color w:val="000000"/>
          <w:sz w:val="24"/>
          <w:szCs w:val="24"/>
          <w:lang w:val="es-ES_tradnl"/>
        </w:rPr>
      </w:pPr>
      <w:r w:rsidRPr="00042251">
        <w:rPr>
          <w:rFonts w:ascii="Times New Roman" w:hAnsi="Times New Roman"/>
          <w:b/>
          <w:color w:val="000000"/>
          <w:sz w:val="24"/>
          <w:szCs w:val="24"/>
          <w:lang w:val="es-ES_tradnl"/>
        </w:rPr>
        <w:t>LISTADO DE PRODUCTOS VETERINARIOS NO SUJETOS A REGISTRO</w:t>
      </w:r>
    </w:p>
    <w:p w:rsidR="00042251" w:rsidRDefault="00042251" w:rsidP="00042251">
      <w:pPr>
        <w:framePr w:w="10123" w:hSpace="141" w:wrap="around" w:vAnchor="text" w:hAnchor="page" w:x="1276" w:y="4"/>
        <w:suppressOverlap/>
        <w:jc w:val="both"/>
        <w:rPr>
          <w:rFonts w:ascii="Times New Roman" w:hAnsi="Times New Roman"/>
          <w:bCs/>
          <w:sz w:val="24"/>
        </w:rPr>
      </w:pPr>
    </w:p>
    <w:p w:rsidR="00042251" w:rsidRPr="00886E15" w:rsidRDefault="00042251" w:rsidP="00042251">
      <w:pPr>
        <w:framePr w:w="10123" w:hSpace="141" w:wrap="around" w:vAnchor="text" w:hAnchor="page" w:x="1276" w:y="4"/>
        <w:suppressOverlap/>
        <w:jc w:val="both"/>
        <w:rPr>
          <w:rFonts w:ascii="Times New Roman" w:hAnsi="Times New Roman"/>
          <w:bCs/>
          <w:sz w:val="24"/>
        </w:rPr>
      </w:pPr>
      <w:r w:rsidRPr="00886E15">
        <w:rPr>
          <w:rFonts w:ascii="Times New Roman" w:hAnsi="Times New Roman"/>
          <w:bCs/>
          <w:sz w:val="24"/>
        </w:rPr>
        <w:t>Los productos de uso veterinario incluidos en la siguiente lista no son sujetos de registro sanitario en los Estados Parte:</w:t>
      </w:r>
    </w:p>
    <w:p w:rsidR="00042251" w:rsidRPr="00886E15" w:rsidRDefault="00042251" w:rsidP="00042251">
      <w:pPr>
        <w:pStyle w:val="Prrafodelista"/>
        <w:framePr w:w="10123" w:hSpace="141" w:wrap="around" w:vAnchor="text" w:hAnchor="page" w:x="1276" w:y="4"/>
        <w:numPr>
          <w:ilvl w:val="0"/>
          <w:numId w:val="1"/>
        </w:numPr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886E15">
        <w:rPr>
          <w:rFonts w:ascii="Times New Roman" w:hAnsi="Times New Roman"/>
          <w:sz w:val="24"/>
          <w:szCs w:val="24"/>
        </w:rPr>
        <w:t xml:space="preserve">Accesorios para mascotas </w:t>
      </w:r>
    </w:p>
    <w:p w:rsidR="00042251" w:rsidRPr="00886E15" w:rsidRDefault="00042251" w:rsidP="00042251">
      <w:pPr>
        <w:pStyle w:val="Prrafodelista"/>
        <w:framePr w:w="10123" w:hSpace="141" w:wrap="around" w:vAnchor="text" w:hAnchor="page" w:x="1276" w:y="4"/>
        <w:numPr>
          <w:ilvl w:val="0"/>
          <w:numId w:val="1"/>
        </w:numPr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886E15">
        <w:rPr>
          <w:rFonts w:ascii="Times New Roman" w:hAnsi="Times New Roman"/>
          <w:sz w:val="24"/>
          <w:szCs w:val="24"/>
        </w:rPr>
        <w:t>Arenas higiénicas para mascota</w:t>
      </w:r>
    </w:p>
    <w:p w:rsidR="00042251" w:rsidRPr="00886E15" w:rsidRDefault="00042251" w:rsidP="00042251">
      <w:pPr>
        <w:pStyle w:val="Prrafodelista"/>
        <w:framePr w:w="10123" w:hSpace="141" w:wrap="around" w:vAnchor="text" w:hAnchor="page" w:x="1276" w:y="4"/>
        <w:numPr>
          <w:ilvl w:val="0"/>
          <w:numId w:val="1"/>
        </w:numPr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886E15">
        <w:rPr>
          <w:rFonts w:ascii="Times New Roman" w:hAnsi="Times New Roman"/>
          <w:sz w:val="24"/>
          <w:szCs w:val="24"/>
        </w:rPr>
        <w:t>Collar de adiestramiento para el control de la conducta animal</w:t>
      </w:r>
    </w:p>
    <w:p w:rsidR="00042251" w:rsidRPr="00886E15" w:rsidRDefault="00042251" w:rsidP="00042251">
      <w:pPr>
        <w:pStyle w:val="Prrafodelista"/>
        <w:framePr w:w="10123" w:hSpace="141" w:wrap="around" w:vAnchor="text" w:hAnchor="page" w:x="1276" w:y="4"/>
        <w:numPr>
          <w:ilvl w:val="0"/>
          <w:numId w:val="1"/>
        </w:numPr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886E15">
        <w:rPr>
          <w:rFonts w:ascii="Times New Roman" w:hAnsi="Times New Roman"/>
          <w:sz w:val="24"/>
          <w:szCs w:val="24"/>
        </w:rPr>
        <w:t>Crayón o marcador para ganado</w:t>
      </w:r>
    </w:p>
    <w:p w:rsidR="00042251" w:rsidRPr="00886E15" w:rsidRDefault="00042251" w:rsidP="00042251">
      <w:pPr>
        <w:pStyle w:val="Prrafodelista"/>
        <w:framePr w:w="10123" w:hSpace="141" w:wrap="around" w:vAnchor="text" w:hAnchor="page" w:x="1276" w:y="4"/>
        <w:numPr>
          <w:ilvl w:val="0"/>
          <w:numId w:val="1"/>
        </w:numPr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886E15">
        <w:rPr>
          <w:rFonts w:ascii="Times New Roman" w:hAnsi="Times New Roman"/>
          <w:sz w:val="24"/>
          <w:szCs w:val="24"/>
        </w:rPr>
        <w:t>Diluyente de semen sin ingrediente activo</w:t>
      </w:r>
    </w:p>
    <w:p w:rsidR="00042251" w:rsidRPr="00886E15" w:rsidRDefault="00042251" w:rsidP="00042251">
      <w:pPr>
        <w:pStyle w:val="Prrafodelista"/>
        <w:framePr w:w="10123" w:hSpace="141" w:wrap="around" w:vAnchor="text" w:hAnchor="page" w:x="1276" w:y="4"/>
        <w:numPr>
          <w:ilvl w:val="0"/>
          <w:numId w:val="1"/>
        </w:numPr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886E15">
        <w:rPr>
          <w:rFonts w:ascii="Times New Roman" w:hAnsi="Times New Roman"/>
          <w:sz w:val="24"/>
          <w:szCs w:val="24"/>
        </w:rPr>
        <w:t>Equipo médico y sus reactivos</w:t>
      </w:r>
    </w:p>
    <w:p w:rsidR="00042251" w:rsidRPr="00886E15" w:rsidRDefault="00042251" w:rsidP="00042251">
      <w:pPr>
        <w:pStyle w:val="Prrafodelista"/>
        <w:framePr w:w="10123" w:hSpace="141" w:wrap="around" w:vAnchor="text" w:hAnchor="page" w:x="1276" w:y="4"/>
        <w:numPr>
          <w:ilvl w:val="0"/>
          <w:numId w:val="1"/>
        </w:numPr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886E15">
        <w:rPr>
          <w:rFonts w:ascii="Times New Roman" w:hAnsi="Times New Roman"/>
          <w:sz w:val="24"/>
          <w:szCs w:val="24"/>
        </w:rPr>
        <w:t>Estabilizadores o indicadores de agua que se utilizan para aplicación de vacunas</w:t>
      </w:r>
      <w:bookmarkStart w:id="0" w:name="_GoBack"/>
    </w:p>
    <w:bookmarkEnd w:id="0"/>
    <w:p w:rsidR="00042251" w:rsidRPr="00886E15" w:rsidRDefault="00042251" w:rsidP="00042251">
      <w:pPr>
        <w:pStyle w:val="Prrafodelista"/>
        <w:framePr w:w="10123" w:hSpace="141" w:wrap="around" w:vAnchor="text" w:hAnchor="page" w:x="1276" w:y="4"/>
        <w:numPr>
          <w:ilvl w:val="0"/>
          <w:numId w:val="1"/>
        </w:numPr>
        <w:spacing w:after="0" w:line="240" w:lineRule="auto"/>
        <w:suppressOverlap/>
        <w:jc w:val="both"/>
        <w:rPr>
          <w:rFonts w:ascii="Times New Roman" w:hAnsi="Times New Roman"/>
          <w:strike/>
          <w:sz w:val="24"/>
          <w:szCs w:val="24"/>
        </w:rPr>
      </w:pPr>
      <w:r w:rsidRPr="00886E15">
        <w:rPr>
          <w:rFonts w:ascii="Times New Roman" w:hAnsi="Times New Roman"/>
          <w:sz w:val="24"/>
          <w:szCs w:val="24"/>
        </w:rPr>
        <w:t xml:space="preserve">Insumos médicos </w:t>
      </w:r>
    </w:p>
    <w:p w:rsidR="00042251" w:rsidRPr="00886E15" w:rsidRDefault="00042251" w:rsidP="00042251">
      <w:pPr>
        <w:pStyle w:val="Prrafodelista"/>
        <w:framePr w:w="10123" w:hSpace="141" w:wrap="around" w:vAnchor="text" w:hAnchor="page" w:x="1276" w:y="4"/>
        <w:numPr>
          <w:ilvl w:val="0"/>
          <w:numId w:val="1"/>
        </w:numPr>
        <w:spacing w:after="0" w:line="240" w:lineRule="auto"/>
        <w:suppressOverlap/>
        <w:jc w:val="both"/>
        <w:rPr>
          <w:rFonts w:ascii="Times New Roman" w:hAnsi="Times New Roman"/>
          <w:strike/>
          <w:sz w:val="24"/>
          <w:szCs w:val="24"/>
        </w:rPr>
      </w:pPr>
      <w:r w:rsidRPr="00886E15">
        <w:rPr>
          <w:rFonts w:ascii="Times New Roman" w:hAnsi="Times New Roman"/>
          <w:sz w:val="24"/>
          <w:szCs w:val="24"/>
        </w:rPr>
        <w:t xml:space="preserve">Equipos para peluquería </w:t>
      </w:r>
    </w:p>
    <w:p w:rsidR="00042251" w:rsidRPr="00886E15" w:rsidRDefault="00042251" w:rsidP="00042251">
      <w:pPr>
        <w:pStyle w:val="Prrafodelista"/>
        <w:framePr w:w="10123" w:hSpace="141" w:wrap="around" w:vAnchor="text" w:hAnchor="page" w:x="1276" w:y="4"/>
        <w:numPr>
          <w:ilvl w:val="0"/>
          <w:numId w:val="1"/>
        </w:numPr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886E15">
        <w:rPr>
          <w:rFonts w:ascii="Times New Roman" w:hAnsi="Times New Roman"/>
          <w:sz w:val="24"/>
          <w:szCs w:val="24"/>
        </w:rPr>
        <w:t>Gel para palpación sin ingrediente activo</w:t>
      </w:r>
    </w:p>
    <w:p w:rsidR="00042251" w:rsidRPr="00886E15" w:rsidRDefault="00042251" w:rsidP="00042251">
      <w:pPr>
        <w:pStyle w:val="Prrafodelista"/>
        <w:framePr w:w="10123" w:hSpace="141" w:wrap="around" w:vAnchor="text" w:hAnchor="page" w:x="1276" w:y="4"/>
        <w:numPr>
          <w:ilvl w:val="0"/>
          <w:numId w:val="1"/>
        </w:numPr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886E15">
        <w:rPr>
          <w:rFonts w:ascii="Times New Roman" w:hAnsi="Times New Roman"/>
          <w:sz w:val="24"/>
          <w:szCs w:val="24"/>
        </w:rPr>
        <w:t>Instrumental quirúrgico o de uso en laboratorio</w:t>
      </w:r>
    </w:p>
    <w:p w:rsidR="00042251" w:rsidRPr="00886E15" w:rsidRDefault="00042251" w:rsidP="00042251">
      <w:pPr>
        <w:pStyle w:val="Prrafodelista"/>
        <w:framePr w:w="10123" w:hSpace="141" w:wrap="around" w:vAnchor="text" w:hAnchor="page" w:x="1276" w:y="4"/>
        <w:numPr>
          <w:ilvl w:val="0"/>
          <w:numId w:val="1"/>
        </w:numPr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886E15">
        <w:rPr>
          <w:rFonts w:ascii="Times New Roman" w:hAnsi="Times New Roman"/>
          <w:sz w:val="24"/>
          <w:szCs w:val="24"/>
        </w:rPr>
        <w:t>Jaulas transportadoras de mascotas</w:t>
      </w:r>
    </w:p>
    <w:p w:rsidR="00042251" w:rsidRPr="00886E15" w:rsidRDefault="00042251" w:rsidP="00042251">
      <w:pPr>
        <w:pStyle w:val="Prrafodelista"/>
        <w:framePr w:w="10123" w:hSpace="141" w:wrap="around" w:vAnchor="text" w:hAnchor="page" w:x="1276" w:y="4"/>
        <w:numPr>
          <w:ilvl w:val="0"/>
          <w:numId w:val="1"/>
        </w:numPr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886E15">
        <w:rPr>
          <w:rFonts w:ascii="Times New Roman" w:hAnsi="Times New Roman"/>
          <w:sz w:val="24"/>
          <w:szCs w:val="24"/>
        </w:rPr>
        <w:t xml:space="preserve">Kits rápidos de química sanguínea </w:t>
      </w:r>
    </w:p>
    <w:p w:rsidR="00042251" w:rsidRPr="00886E15" w:rsidRDefault="00042251" w:rsidP="00042251">
      <w:pPr>
        <w:pStyle w:val="Prrafodelista"/>
        <w:framePr w:w="10123" w:hSpace="141" w:wrap="around" w:vAnchor="text" w:hAnchor="page" w:x="1276" w:y="4"/>
        <w:numPr>
          <w:ilvl w:val="0"/>
          <w:numId w:val="1"/>
        </w:numPr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886E15">
        <w:rPr>
          <w:rFonts w:ascii="Times New Roman" w:hAnsi="Times New Roman"/>
          <w:sz w:val="24"/>
          <w:szCs w:val="24"/>
        </w:rPr>
        <w:t>Nitrógeno líquido para la conservación de biológicos, semen o embriones</w:t>
      </w:r>
    </w:p>
    <w:p w:rsidR="00042251" w:rsidRPr="00886E15" w:rsidRDefault="00042251" w:rsidP="00042251">
      <w:pPr>
        <w:pStyle w:val="Prrafodelista"/>
        <w:framePr w:w="10123" w:hSpace="141" w:wrap="around" w:vAnchor="text" w:hAnchor="page" w:x="1276" w:y="4"/>
        <w:numPr>
          <w:ilvl w:val="0"/>
          <w:numId w:val="1"/>
        </w:numPr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886E15">
        <w:rPr>
          <w:rFonts w:ascii="Times New Roman" w:hAnsi="Times New Roman"/>
          <w:sz w:val="24"/>
          <w:szCs w:val="24"/>
        </w:rPr>
        <w:t>Parches para detección de celo</w:t>
      </w:r>
    </w:p>
    <w:p w:rsidR="00042251" w:rsidRPr="00886E15" w:rsidRDefault="00042251" w:rsidP="00042251">
      <w:pPr>
        <w:pStyle w:val="Prrafodelista"/>
        <w:framePr w:w="10123" w:hSpace="141" w:wrap="around" w:vAnchor="text" w:hAnchor="page" w:x="1276" w:y="4"/>
        <w:numPr>
          <w:ilvl w:val="0"/>
          <w:numId w:val="1"/>
        </w:numPr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886E15">
        <w:rPr>
          <w:rFonts w:ascii="Times New Roman" w:hAnsi="Times New Roman"/>
          <w:sz w:val="24"/>
          <w:szCs w:val="24"/>
        </w:rPr>
        <w:t>Productos para conservar la calidad de agua en especies acuícolas ornamentales</w:t>
      </w:r>
    </w:p>
    <w:p w:rsidR="00042251" w:rsidRPr="00886E15" w:rsidRDefault="00042251" w:rsidP="00042251">
      <w:pPr>
        <w:pStyle w:val="Prrafodelista"/>
        <w:framePr w:w="10123" w:hSpace="141" w:wrap="around" w:vAnchor="text" w:hAnchor="page" w:x="1276" w:y="4"/>
        <w:numPr>
          <w:ilvl w:val="0"/>
          <w:numId w:val="1"/>
        </w:numPr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886E15">
        <w:rPr>
          <w:rFonts w:ascii="Times New Roman" w:hAnsi="Times New Roman"/>
          <w:sz w:val="24"/>
          <w:szCs w:val="24"/>
        </w:rPr>
        <w:t>Productos para manejo y transporte de material reproductivo</w:t>
      </w:r>
    </w:p>
    <w:p w:rsidR="00042251" w:rsidRPr="00886E15" w:rsidRDefault="00042251" w:rsidP="00042251">
      <w:pPr>
        <w:pStyle w:val="Prrafodelista"/>
        <w:framePr w:w="10123" w:hSpace="141" w:wrap="around" w:vAnchor="text" w:hAnchor="page" w:x="1276" w:y="4"/>
        <w:numPr>
          <w:ilvl w:val="0"/>
          <w:numId w:val="1"/>
        </w:numPr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886E15">
        <w:rPr>
          <w:rFonts w:ascii="Times New Roman" w:hAnsi="Times New Roman"/>
          <w:sz w:val="24"/>
          <w:szCs w:val="24"/>
        </w:rPr>
        <w:t>Reactivos químicos para uso en laboratorio (no incluye los utilizados para el diagnóstico de enfermedades)</w:t>
      </w:r>
    </w:p>
    <w:p w:rsidR="00042251" w:rsidRPr="00886E15" w:rsidRDefault="00042251" w:rsidP="00042251">
      <w:pPr>
        <w:pStyle w:val="Prrafodelista"/>
        <w:framePr w:w="10123" w:hSpace="141" w:wrap="around" w:vAnchor="text" w:hAnchor="page" w:x="1276" w:y="4"/>
        <w:numPr>
          <w:ilvl w:val="0"/>
          <w:numId w:val="1"/>
        </w:numPr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886E15">
        <w:rPr>
          <w:rFonts w:ascii="Times New Roman" w:hAnsi="Times New Roman"/>
          <w:sz w:val="24"/>
          <w:szCs w:val="24"/>
        </w:rPr>
        <w:t>Selladores de pezones sin ingrediente activo</w:t>
      </w:r>
    </w:p>
    <w:p w:rsidR="00042251" w:rsidRDefault="00042251" w:rsidP="00042251">
      <w:pPr>
        <w:pStyle w:val="Prrafodelista"/>
        <w:framePr w:w="10123" w:hSpace="141" w:wrap="around" w:vAnchor="text" w:hAnchor="page" w:x="1276" w:y="4"/>
        <w:numPr>
          <w:ilvl w:val="0"/>
          <w:numId w:val="1"/>
        </w:numPr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886E15">
        <w:rPr>
          <w:rFonts w:ascii="Times New Roman" w:hAnsi="Times New Roman"/>
          <w:sz w:val="24"/>
          <w:szCs w:val="24"/>
        </w:rPr>
        <w:t>Tinta para tatuaje</w:t>
      </w:r>
    </w:p>
    <w:p w:rsidR="002D67DA" w:rsidRDefault="00042251" w:rsidP="00042251">
      <w:pPr>
        <w:pStyle w:val="Prrafodelista"/>
        <w:framePr w:w="10123" w:hSpace="141" w:wrap="around" w:vAnchor="text" w:hAnchor="page" w:x="1276" w:y="4"/>
        <w:numPr>
          <w:ilvl w:val="0"/>
          <w:numId w:val="1"/>
        </w:numPr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042251">
        <w:rPr>
          <w:rFonts w:ascii="Times New Roman" w:hAnsi="Times New Roman"/>
          <w:sz w:val="24"/>
          <w:szCs w:val="24"/>
        </w:rPr>
        <w:t>Toallitas húmedas de uso veterinario sin ingrediente activo</w:t>
      </w:r>
    </w:p>
    <w:p w:rsidR="00042251" w:rsidRDefault="00042251" w:rsidP="00042251">
      <w:pPr>
        <w:framePr w:w="10123" w:hSpace="141" w:wrap="around" w:vAnchor="text" w:hAnchor="page" w:x="1276" w:y="4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</w:p>
    <w:p w:rsidR="00042251" w:rsidRDefault="00042251" w:rsidP="00042251">
      <w:pPr>
        <w:framePr w:w="10123" w:hSpace="141" w:wrap="around" w:vAnchor="text" w:hAnchor="page" w:x="1276" w:y="4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listado puede ser actualizado por los Estados Parte cuando sea técnicamente necesario.</w:t>
      </w:r>
    </w:p>
    <w:p w:rsidR="00042251" w:rsidRDefault="00042251" w:rsidP="00042251">
      <w:pPr>
        <w:framePr w:w="10123" w:hSpace="141" w:wrap="around" w:vAnchor="text" w:hAnchor="page" w:x="1276" w:y="4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</w:p>
    <w:p w:rsidR="00042251" w:rsidRPr="00042251" w:rsidRDefault="00042251" w:rsidP="00042251">
      <w:pPr>
        <w:framePr w:w="10123" w:hSpace="141" w:wrap="around" w:vAnchor="text" w:hAnchor="page" w:x="1276" w:y="4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exención de registro sanitario no implica la eliminación de los controles sanitarios oficiales realizados por cada Estado Parte.</w:t>
      </w:r>
    </w:p>
    <w:sectPr w:rsidR="00042251" w:rsidRPr="0004225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3D8" w:rsidRDefault="001113D8" w:rsidP="00042251">
      <w:pPr>
        <w:spacing w:after="0" w:line="240" w:lineRule="auto"/>
      </w:pPr>
      <w:r>
        <w:separator/>
      </w:r>
    </w:p>
  </w:endnote>
  <w:endnote w:type="continuationSeparator" w:id="0">
    <w:p w:rsidR="001113D8" w:rsidRDefault="001113D8" w:rsidP="0004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3D8" w:rsidRDefault="001113D8" w:rsidP="00042251">
      <w:pPr>
        <w:spacing w:after="0" w:line="240" w:lineRule="auto"/>
      </w:pPr>
      <w:r>
        <w:separator/>
      </w:r>
    </w:p>
  </w:footnote>
  <w:footnote w:type="continuationSeparator" w:id="0">
    <w:p w:rsidR="001113D8" w:rsidRDefault="001113D8" w:rsidP="00042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73"/>
      <w:gridCol w:w="8363"/>
    </w:tblGrid>
    <w:tr w:rsidR="00042251" w:rsidRPr="00395792" w:rsidTr="00230136">
      <w:trPr>
        <w:trHeight w:val="846"/>
      </w:trPr>
      <w:tc>
        <w:tcPr>
          <w:tcW w:w="1673" w:type="dxa"/>
          <w:vMerge w:val="restart"/>
          <w:vAlign w:val="bottom"/>
        </w:tcPr>
        <w:p w:rsidR="00042251" w:rsidRPr="00395792" w:rsidRDefault="00042251" w:rsidP="00042251">
          <w:pPr>
            <w:spacing w:after="160" w:line="259" w:lineRule="auto"/>
            <w:ind w:left="34" w:hanging="34"/>
            <w:jc w:val="center"/>
            <w:rPr>
              <w:rFonts w:asciiTheme="minorHAnsi" w:eastAsiaTheme="minorHAnsi" w:hAnsiTheme="minorHAnsi" w:cstheme="minorBidi"/>
            </w:rPr>
          </w:pPr>
          <w:r w:rsidRPr="00395792">
            <w:rPr>
              <w:rFonts w:asciiTheme="minorHAnsi" w:eastAsiaTheme="minorHAnsi" w:hAnsiTheme="minorHAnsi" w:cstheme="minorBidi"/>
              <w:noProof/>
              <w:lang w:val="es-PA" w:eastAsia="es-PA"/>
            </w:rPr>
            <w:drawing>
              <wp:anchor distT="0" distB="0" distL="114300" distR="114300" simplePos="0" relativeHeight="251659264" behindDoc="0" locked="0" layoutInCell="1" allowOverlap="1" wp14:anchorId="08FAC8FF" wp14:editId="17FD96D6">
                <wp:simplePos x="0" y="0"/>
                <wp:positionH relativeFrom="column">
                  <wp:posOffset>43815</wp:posOffset>
                </wp:positionH>
                <wp:positionV relativeFrom="paragraph">
                  <wp:posOffset>-471170</wp:posOffset>
                </wp:positionV>
                <wp:extent cx="781050" cy="647700"/>
                <wp:effectExtent l="0" t="0" r="0" b="0"/>
                <wp:wrapNone/>
                <wp:docPr id="2" name="Imagen 2" descr="Descripción: 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63" w:type="dxa"/>
          <w:vAlign w:val="center"/>
        </w:tcPr>
        <w:p w:rsidR="00042251" w:rsidRPr="00395792" w:rsidRDefault="00042251" w:rsidP="00042251">
          <w:pPr>
            <w:spacing w:after="0" w:line="240" w:lineRule="auto"/>
            <w:jc w:val="center"/>
            <w:rPr>
              <w:rFonts w:ascii="Arial" w:eastAsiaTheme="minorHAnsi" w:hAnsi="Arial" w:cs="Arial"/>
              <w:b/>
            </w:rPr>
          </w:pPr>
          <w:r w:rsidRPr="00395792">
            <w:rPr>
              <w:rFonts w:ascii="Arial" w:eastAsiaTheme="minorHAnsi" w:hAnsi="Arial" w:cs="Arial"/>
              <w:b/>
            </w:rPr>
            <w:t>Ministerio de Desarrollo Agropecuario</w:t>
          </w:r>
        </w:p>
        <w:p w:rsidR="00042251" w:rsidRPr="00395792" w:rsidRDefault="00042251" w:rsidP="00042251">
          <w:pPr>
            <w:spacing w:after="0" w:line="240" w:lineRule="auto"/>
            <w:jc w:val="center"/>
            <w:rPr>
              <w:rFonts w:ascii="Arial" w:eastAsiaTheme="minorHAnsi" w:hAnsi="Arial" w:cs="Arial"/>
              <w:b/>
            </w:rPr>
          </w:pPr>
          <w:r w:rsidRPr="00395792">
            <w:rPr>
              <w:rFonts w:ascii="Arial" w:eastAsiaTheme="minorHAnsi" w:hAnsi="Arial" w:cs="Arial"/>
              <w:b/>
            </w:rPr>
            <w:t>Dirección Nacional de Salud Animal</w:t>
          </w:r>
        </w:p>
        <w:p w:rsidR="00042251" w:rsidRPr="00395792" w:rsidRDefault="00042251" w:rsidP="00042251">
          <w:pPr>
            <w:spacing w:after="0" w:line="240" w:lineRule="auto"/>
            <w:jc w:val="center"/>
            <w:rPr>
              <w:rFonts w:ascii="Arial Narrow" w:eastAsiaTheme="minorHAnsi" w:hAnsi="Arial Narrow" w:cstheme="minorBidi"/>
              <w:sz w:val="16"/>
              <w:szCs w:val="16"/>
            </w:rPr>
          </w:pPr>
          <w:r w:rsidRPr="00395792">
            <w:rPr>
              <w:rFonts w:ascii="Arial" w:eastAsiaTheme="minorHAnsi" w:hAnsi="Arial" w:cs="Arial"/>
              <w:b/>
              <w:szCs w:val="16"/>
            </w:rPr>
            <w:t>Departamento De Registro</w:t>
          </w:r>
        </w:p>
      </w:tc>
    </w:tr>
    <w:tr w:rsidR="00042251" w:rsidRPr="00395792" w:rsidTr="00230136">
      <w:trPr>
        <w:trHeight w:hRule="exact" w:val="722"/>
      </w:trPr>
      <w:tc>
        <w:tcPr>
          <w:tcW w:w="1673" w:type="dxa"/>
          <w:vMerge/>
        </w:tcPr>
        <w:p w:rsidR="00042251" w:rsidRPr="00395792" w:rsidRDefault="00042251" w:rsidP="00042251">
          <w:pPr>
            <w:spacing w:after="160" w:line="259" w:lineRule="auto"/>
            <w:rPr>
              <w:rFonts w:asciiTheme="minorHAnsi" w:eastAsiaTheme="minorHAnsi" w:hAnsiTheme="minorHAnsi" w:cstheme="minorBidi"/>
            </w:rPr>
          </w:pPr>
        </w:p>
      </w:tc>
      <w:tc>
        <w:tcPr>
          <w:tcW w:w="8363" w:type="dxa"/>
          <w:vAlign w:val="center"/>
        </w:tcPr>
        <w:p w:rsidR="00042251" w:rsidRPr="00395792" w:rsidRDefault="00042251" w:rsidP="00042251">
          <w:pPr>
            <w:pStyle w:val="Sinespaciado"/>
            <w:jc w:val="center"/>
            <w:rPr>
              <w:b/>
            </w:rPr>
          </w:pPr>
          <w:r w:rsidRPr="00395792">
            <w:rPr>
              <w:b/>
            </w:rPr>
            <w:t>A</w:t>
          </w:r>
          <w:r>
            <w:rPr>
              <w:b/>
            </w:rPr>
            <w:t>NEXO K</w:t>
          </w:r>
        </w:p>
        <w:p w:rsidR="00042251" w:rsidRPr="00395792" w:rsidRDefault="00042251" w:rsidP="00042251">
          <w:pPr>
            <w:pStyle w:val="Sinespaciado"/>
            <w:jc w:val="center"/>
            <w:rPr>
              <w:rFonts w:ascii="Arial" w:hAnsi="Arial" w:cs="Arial"/>
            </w:rPr>
          </w:pPr>
          <w:r w:rsidRPr="00395792">
            <w:rPr>
              <w:b/>
            </w:rPr>
            <w:t>(NORMATIVO)</w:t>
          </w:r>
        </w:p>
      </w:tc>
    </w:tr>
  </w:tbl>
  <w:p w:rsidR="00042251" w:rsidRDefault="000422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CE0"/>
    <w:multiLevelType w:val="hybridMultilevel"/>
    <w:tmpl w:val="10E8F122"/>
    <w:lvl w:ilvl="0" w:tplc="34E48B0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51"/>
    <w:rsid w:val="00042251"/>
    <w:rsid w:val="001113D8"/>
    <w:rsid w:val="00760984"/>
    <w:rsid w:val="00C7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49FCF6"/>
  <w15:chartTrackingRefBased/>
  <w15:docId w15:val="{311F3F45-31FD-40BB-B0A4-3C2593FC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251"/>
    <w:rPr>
      <w:rFonts w:ascii="Calibri" w:eastAsia="Calibri" w:hAnsi="Calibri" w:cs="Times New Roman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4225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042251"/>
    <w:rPr>
      <w:rFonts w:ascii="Calibri" w:eastAsia="Calibri" w:hAnsi="Calibri" w:cs="Times New Roman"/>
      <w:lang w:val="es-CR"/>
    </w:rPr>
  </w:style>
  <w:style w:type="paragraph" w:styleId="Encabezado">
    <w:name w:val="header"/>
    <w:basedOn w:val="Normal"/>
    <w:link w:val="EncabezadoCar"/>
    <w:uiPriority w:val="99"/>
    <w:unhideWhenUsed/>
    <w:rsid w:val="000422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251"/>
    <w:rPr>
      <w:rFonts w:ascii="Calibri" w:eastAsia="Calibri" w:hAnsi="Calibri" w:cs="Times New Roman"/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0422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251"/>
    <w:rPr>
      <w:rFonts w:ascii="Calibri" w:eastAsia="Calibri" w:hAnsi="Calibri" w:cs="Times New Roman"/>
      <w:lang w:val="es-CR"/>
    </w:rPr>
  </w:style>
  <w:style w:type="paragraph" w:styleId="Sinespaciado">
    <w:name w:val="No Spacing"/>
    <w:uiPriority w:val="1"/>
    <w:qFormat/>
    <w:rsid w:val="00042251"/>
    <w:pPr>
      <w:spacing w:after="0" w:line="240" w:lineRule="auto"/>
    </w:pPr>
    <w:rPr>
      <w:rFonts w:ascii="Calibri" w:eastAsia="Calibri" w:hAnsi="Calibri" w:cs="Times New Roman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Jezibel Donado</dc:creator>
  <cp:keywords/>
  <dc:description/>
  <cp:lastModifiedBy>Jezibel Donado</cp:lastModifiedBy>
  <cp:revision>1</cp:revision>
  <dcterms:created xsi:type="dcterms:W3CDTF">2021-08-06T18:26:00Z</dcterms:created>
  <dcterms:modified xsi:type="dcterms:W3CDTF">2021-08-06T18:39:00Z</dcterms:modified>
</cp:coreProperties>
</file>