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92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395792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E92ED5">
        <w:rPr>
          <w:rFonts w:ascii="Times New Roman" w:hAnsi="Times New Roman"/>
          <w:b/>
          <w:sz w:val="24"/>
          <w:szCs w:val="24"/>
          <w:lang w:val="es-ES_tradnl"/>
        </w:rPr>
        <w:t>LISTADO DE MEDICAMENTOS VETERINARIOS Y PRODUCTOS AFINES SUJETOS A REGISTRO SIMPLIFICADO</w:t>
      </w:r>
    </w:p>
    <w:p w:rsidR="00395792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395792" w:rsidRPr="00E92ED5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both"/>
        <w:rPr>
          <w:rFonts w:ascii="Times New Roman" w:eastAsia="Verdana" w:hAnsi="Times New Roman"/>
          <w:b/>
          <w:sz w:val="24"/>
          <w:szCs w:val="24"/>
          <w:lang w:val="es-ES_tradnl"/>
        </w:rPr>
      </w:pPr>
    </w:p>
    <w:p w:rsidR="00395792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E92ED5">
        <w:rPr>
          <w:rFonts w:ascii="Times New Roman" w:hAnsi="Times New Roman"/>
          <w:sz w:val="24"/>
          <w:szCs w:val="24"/>
        </w:rPr>
        <w:t>Los Estados Parte acuerdan adoptar el siguiente listado y requisitos para el registro de medicamentos veterinarios y prod</w:t>
      </w:r>
      <w:bookmarkStart w:id="0" w:name="_GoBack"/>
      <w:bookmarkEnd w:id="0"/>
      <w:r w:rsidRPr="00E92ED5">
        <w:rPr>
          <w:rFonts w:ascii="Times New Roman" w:hAnsi="Times New Roman"/>
          <w:sz w:val="24"/>
          <w:szCs w:val="24"/>
        </w:rPr>
        <w:t>uctos afines:</w:t>
      </w:r>
    </w:p>
    <w:p w:rsidR="00395792" w:rsidRPr="00E92ED5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395792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E92ED5">
        <w:rPr>
          <w:rFonts w:ascii="Times New Roman" w:hAnsi="Times New Roman"/>
          <w:sz w:val="24"/>
          <w:szCs w:val="24"/>
        </w:rPr>
        <w:t>Absorbentes y adsorbentes</w:t>
      </w:r>
    </w:p>
    <w:p w:rsidR="00395792" w:rsidRPr="00E92ED5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Antisépticos</w:t>
      </w:r>
    </w:p>
    <w:p w:rsidR="00395792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2ED5">
        <w:rPr>
          <w:rFonts w:ascii="Times New Roman" w:hAnsi="Times New Roman"/>
          <w:sz w:val="24"/>
          <w:szCs w:val="24"/>
        </w:rPr>
        <w:t>Descornadores</w:t>
      </w:r>
      <w:proofErr w:type="spellEnd"/>
      <w:r w:rsidRPr="00E92ED5">
        <w:rPr>
          <w:rFonts w:ascii="Times New Roman" w:hAnsi="Times New Roman"/>
          <w:sz w:val="24"/>
          <w:szCs w:val="24"/>
        </w:rPr>
        <w:t xml:space="preserve"> químicos</w:t>
      </w:r>
    </w:p>
    <w:p w:rsidR="00395792" w:rsidRPr="00E92ED5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Desinfectantes</w:t>
      </w:r>
    </w:p>
    <w:p w:rsidR="00395792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r w:rsidRPr="00E92ED5">
        <w:rPr>
          <w:rFonts w:ascii="Times New Roman" w:hAnsi="Times New Roman"/>
          <w:sz w:val="24"/>
          <w:szCs w:val="24"/>
        </w:rPr>
        <w:t xml:space="preserve">Desodorantes y </w:t>
      </w:r>
      <w:proofErr w:type="spellStart"/>
      <w:r w:rsidRPr="00E92ED5">
        <w:rPr>
          <w:rFonts w:ascii="Times New Roman" w:hAnsi="Times New Roman"/>
          <w:sz w:val="24"/>
          <w:szCs w:val="24"/>
        </w:rPr>
        <w:t>odor</w:t>
      </w:r>
      <w:r>
        <w:rPr>
          <w:rFonts w:ascii="Times New Roman" w:hAnsi="Times New Roman"/>
          <w:sz w:val="24"/>
          <w:szCs w:val="24"/>
        </w:rPr>
        <w:t>iz</w:t>
      </w:r>
      <w:r w:rsidRPr="00E92ED5">
        <w:rPr>
          <w:rFonts w:ascii="Times New Roman" w:hAnsi="Times New Roman"/>
          <w:sz w:val="24"/>
          <w:szCs w:val="24"/>
        </w:rPr>
        <w:t>antes</w:t>
      </w:r>
      <w:proofErr w:type="spellEnd"/>
    </w:p>
    <w:p w:rsidR="00395792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Kits de diagnóstico de enfermedades</w:t>
      </w:r>
    </w:p>
    <w:p w:rsidR="00395792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Lubricantes obstétricos</w:t>
      </w:r>
    </w:p>
    <w:p w:rsidR="00395792" w:rsidRPr="00E92ED5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E92ED5">
        <w:rPr>
          <w:rFonts w:ascii="Times New Roman" w:hAnsi="Times New Roman"/>
          <w:sz w:val="24"/>
          <w:szCs w:val="24"/>
        </w:rPr>
        <w:t>Marcadores quemantes</w:t>
      </w:r>
    </w:p>
    <w:p w:rsidR="00395792" w:rsidRPr="00395792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E92ED5">
        <w:rPr>
          <w:rFonts w:ascii="Times New Roman" w:hAnsi="Times New Roman"/>
          <w:sz w:val="24"/>
          <w:szCs w:val="24"/>
        </w:rPr>
        <w:t xml:space="preserve">Productos de higiene y belleza </w:t>
      </w:r>
    </w:p>
    <w:p w:rsidR="00395792" w:rsidRPr="00E92ED5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r w:rsidRPr="00E92ED5">
        <w:rPr>
          <w:rFonts w:ascii="Times New Roman" w:hAnsi="Times New Roman"/>
          <w:sz w:val="24"/>
          <w:szCs w:val="24"/>
        </w:rPr>
        <w:t>Repelentes no plaguicidas</w:t>
      </w:r>
    </w:p>
    <w:p w:rsidR="00395792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r w:rsidRPr="00E92ED5">
        <w:rPr>
          <w:rFonts w:ascii="Times New Roman" w:hAnsi="Times New Roman"/>
          <w:sz w:val="24"/>
          <w:szCs w:val="24"/>
        </w:rPr>
        <w:t>Rubefacientes</w:t>
      </w:r>
    </w:p>
    <w:p w:rsidR="002D67DA" w:rsidRDefault="00395792" w:rsidP="00395792">
      <w:pPr>
        <w:pStyle w:val="Prrafodelista"/>
        <w:framePr w:w="10375" w:hSpace="141" w:wrap="around" w:vAnchor="text" w:hAnchor="page" w:x="1180" w:y="4"/>
        <w:numPr>
          <w:ilvl w:val="0"/>
          <w:numId w:val="1"/>
        </w:numPr>
        <w:spacing w:after="0" w:line="240" w:lineRule="auto"/>
        <w:ind w:left="714" w:hanging="357"/>
        <w:suppressOverlap/>
        <w:jc w:val="both"/>
        <w:rPr>
          <w:rFonts w:ascii="Times New Roman" w:hAnsi="Times New Roman"/>
          <w:sz w:val="24"/>
          <w:szCs w:val="24"/>
        </w:rPr>
      </w:pPr>
      <w:r w:rsidRPr="00395792">
        <w:rPr>
          <w:rFonts w:ascii="Times New Roman" w:hAnsi="Times New Roman"/>
          <w:sz w:val="24"/>
          <w:szCs w:val="24"/>
        </w:rPr>
        <w:t>Ungüentos y cremas tópicas que no contengan principios activos de medicamentos veterinarios de venta exclusiva en farmacias veterinarias</w:t>
      </w:r>
      <w:r>
        <w:rPr>
          <w:rFonts w:ascii="Times New Roman" w:hAnsi="Times New Roman"/>
          <w:sz w:val="24"/>
          <w:szCs w:val="24"/>
        </w:rPr>
        <w:t>.</w:t>
      </w:r>
    </w:p>
    <w:p w:rsidR="00395792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395792" w:rsidRPr="00395792" w:rsidRDefault="00395792" w:rsidP="00395792">
      <w:pPr>
        <w:framePr w:w="10375" w:hSpace="141" w:wrap="around" w:vAnchor="text" w:hAnchor="page" w:x="1180" w:y="4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listado, puede ser actualizado por los Estados Parte cuando sea técnicamente necesario.</w:t>
      </w:r>
    </w:p>
    <w:sectPr w:rsidR="00395792" w:rsidRPr="003957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BE" w:rsidRDefault="00F301BE" w:rsidP="00395792">
      <w:pPr>
        <w:spacing w:after="0" w:line="240" w:lineRule="auto"/>
      </w:pPr>
      <w:r>
        <w:separator/>
      </w:r>
    </w:p>
  </w:endnote>
  <w:endnote w:type="continuationSeparator" w:id="0">
    <w:p w:rsidR="00F301BE" w:rsidRDefault="00F301BE" w:rsidP="003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BE" w:rsidRDefault="00F301BE" w:rsidP="00395792">
      <w:pPr>
        <w:spacing w:after="0" w:line="240" w:lineRule="auto"/>
      </w:pPr>
      <w:r>
        <w:separator/>
      </w:r>
    </w:p>
  </w:footnote>
  <w:footnote w:type="continuationSeparator" w:id="0">
    <w:p w:rsidR="00F301BE" w:rsidRDefault="00F301BE" w:rsidP="003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3"/>
      <w:gridCol w:w="8363"/>
    </w:tblGrid>
    <w:tr w:rsidR="00395792" w:rsidRPr="00395792" w:rsidTr="00230136">
      <w:trPr>
        <w:trHeight w:val="846"/>
      </w:trPr>
      <w:tc>
        <w:tcPr>
          <w:tcW w:w="1673" w:type="dxa"/>
          <w:vMerge w:val="restart"/>
          <w:vAlign w:val="bottom"/>
        </w:tcPr>
        <w:p w:rsidR="00395792" w:rsidRPr="00395792" w:rsidRDefault="00395792" w:rsidP="00395792">
          <w:pPr>
            <w:spacing w:after="160" w:line="259" w:lineRule="auto"/>
            <w:ind w:left="34" w:hanging="34"/>
            <w:jc w:val="center"/>
            <w:rPr>
              <w:rFonts w:asciiTheme="minorHAnsi" w:eastAsiaTheme="minorHAnsi" w:hAnsiTheme="minorHAnsi" w:cstheme="minorBidi"/>
            </w:rPr>
          </w:pPr>
          <w:r w:rsidRPr="00395792">
            <w:rPr>
              <w:rFonts w:asciiTheme="minorHAnsi" w:eastAsiaTheme="minorHAnsi" w:hAnsiTheme="minorHAnsi" w:cstheme="minorBidi"/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644063CA" wp14:editId="15412E20">
                <wp:simplePos x="0" y="0"/>
                <wp:positionH relativeFrom="column">
                  <wp:posOffset>43815</wp:posOffset>
                </wp:positionH>
                <wp:positionV relativeFrom="paragraph">
                  <wp:posOffset>-471170</wp:posOffset>
                </wp:positionV>
                <wp:extent cx="781050" cy="647700"/>
                <wp:effectExtent l="0" t="0" r="0" b="0"/>
                <wp:wrapNone/>
                <wp:docPr id="2" name="Imagen 2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395792" w:rsidRPr="00395792" w:rsidRDefault="00395792" w:rsidP="00395792">
          <w:pPr>
            <w:spacing w:after="0" w:line="240" w:lineRule="auto"/>
            <w:jc w:val="center"/>
            <w:rPr>
              <w:rFonts w:ascii="Arial" w:eastAsiaTheme="minorHAnsi" w:hAnsi="Arial" w:cs="Arial"/>
              <w:b/>
            </w:rPr>
          </w:pPr>
          <w:r w:rsidRPr="00395792">
            <w:rPr>
              <w:rFonts w:ascii="Arial" w:eastAsiaTheme="minorHAnsi" w:hAnsi="Arial" w:cs="Arial"/>
              <w:b/>
            </w:rPr>
            <w:t>Ministerio de Desarrollo Agropecuario</w:t>
          </w:r>
        </w:p>
        <w:p w:rsidR="00395792" w:rsidRPr="00395792" w:rsidRDefault="00395792" w:rsidP="00395792">
          <w:pPr>
            <w:spacing w:after="0" w:line="240" w:lineRule="auto"/>
            <w:jc w:val="center"/>
            <w:rPr>
              <w:rFonts w:ascii="Arial" w:eastAsiaTheme="minorHAnsi" w:hAnsi="Arial" w:cs="Arial"/>
              <w:b/>
            </w:rPr>
          </w:pPr>
          <w:r w:rsidRPr="00395792">
            <w:rPr>
              <w:rFonts w:ascii="Arial" w:eastAsiaTheme="minorHAnsi" w:hAnsi="Arial" w:cs="Arial"/>
              <w:b/>
            </w:rPr>
            <w:t>Dirección Nacional de Salud Animal</w:t>
          </w:r>
        </w:p>
        <w:p w:rsidR="00395792" w:rsidRPr="00395792" w:rsidRDefault="00395792" w:rsidP="00395792">
          <w:pPr>
            <w:spacing w:after="0" w:line="240" w:lineRule="auto"/>
            <w:jc w:val="center"/>
            <w:rPr>
              <w:rFonts w:ascii="Arial Narrow" w:eastAsiaTheme="minorHAnsi" w:hAnsi="Arial Narrow" w:cstheme="minorBidi"/>
              <w:sz w:val="16"/>
              <w:szCs w:val="16"/>
            </w:rPr>
          </w:pPr>
          <w:r w:rsidRPr="00395792">
            <w:rPr>
              <w:rFonts w:ascii="Arial" w:eastAsiaTheme="minorHAnsi" w:hAnsi="Arial" w:cs="Arial"/>
              <w:b/>
              <w:szCs w:val="16"/>
            </w:rPr>
            <w:t>Departamento De Registro</w:t>
          </w:r>
        </w:p>
      </w:tc>
    </w:tr>
    <w:tr w:rsidR="00395792" w:rsidRPr="00395792" w:rsidTr="00395792">
      <w:trPr>
        <w:trHeight w:hRule="exact" w:val="722"/>
      </w:trPr>
      <w:tc>
        <w:tcPr>
          <w:tcW w:w="1673" w:type="dxa"/>
          <w:vMerge/>
        </w:tcPr>
        <w:p w:rsidR="00395792" w:rsidRPr="00395792" w:rsidRDefault="00395792" w:rsidP="00395792">
          <w:pPr>
            <w:spacing w:after="160" w:line="259" w:lineRule="auto"/>
            <w:rPr>
              <w:rFonts w:asciiTheme="minorHAnsi" w:eastAsiaTheme="minorHAnsi" w:hAnsiTheme="minorHAnsi" w:cstheme="minorBidi"/>
            </w:rPr>
          </w:pPr>
        </w:p>
      </w:tc>
      <w:tc>
        <w:tcPr>
          <w:tcW w:w="8363" w:type="dxa"/>
          <w:vAlign w:val="center"/>
        </w:tcPr>
        <w:p w:rsidR="00395792" w:rsidRPr="00395792" w:rsidRDefault="00395792" w:rsidP="00395792">
          <w:pPr>
            <w:pStyle w:val="Sinespaciado"/>
            <w:jc w:val="center"/>
            <w:rPr>
              <w:b/>
            </w:rPr>
          </w:pPr>
          <w:r w:rsidRPr="00395792">
            <w:rPr>
              <w:b/>
            </w:rPr>
            <w:t>ANEXO J</w:t>
          </w:r>
        </w:p>
        <w:p w:rsidR="00395792" w:rsidRPr="00395792" w:rsidRDefault="00395792" w:rsidP="00395792">
          <w:pPr>
            <w:pStyle w:val="Sinespaciado"/>
            <w:jc w:val="center"/>
            <w:rPr>
              <w:rFonts w:ascii="Arial" w:hAnsi="Arial" w:cs="Arial"/>
            </w:rPr>
          </w:pPr>
          <w:r w:rsidRPr="00395792">
            <w:rPr>
              <w:b/>
            </w:rPr>
            <w:t>(NORMATIVO)</w:t>
          </w:r>
        </w:p>
      </w:tc>
    </w:tr>
  </w:tbl>
  <w:p w:rsidR="00395792" w:rsidRPr="00395792" w:rsidRDefault="00395792" w:rsidP="00395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031F"/>
    <w:multiLevelType w:val="hybridMultilevel"/>
    <w:tmpl w:val="BBB4631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92"/>
    <w:rsid w:val="002E0D4A"/>
    <w:rsid w:val="00395792"/>
    <w:rsid w:val="00760984"/>
    <w:rsid w:val="00C778BE"/>
    <w:rsid w:val="00F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35121"/>
  <w15:chartTrackingRefBased/>
  <w15:docId w15:val="{2AF4A914-450F-4A79-AF82-DD78911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92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9579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95792"/>
    <w:rPr>
      <w:rFonts w:ascii="Calibri" w:eastAsia="Calibri" w:hAnsi="Calibri" w:cs="Times New Roman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395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792"/>
    <w:rPr>
      <w:rFonts w:ascii="Calibri" w:eastAsia="Calibri" w:hAnsi="Calibri" w:cs="Times New Roman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395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792"/>
    <w:rPr>
      <w:rFonts w:ascii="Calibri" w:eastAsia="Calibri" w:hAnsi="Calibri" w:cs="Times New Roman"/>
      <w:lang w:val="es-CR"/>
    </w:rPr>
  </w:style>
  <w:style w:type="paragraph" w:styleId="Sinespaciado">
    <w:name w:val="No Spacing"/>
    <w:uiPriority w:val="1"/>
    <w:qFormat/>
    <w:rsid w:val="00395792"/>
    <w:pPr>
      <w:spacing w:after="0" w:line="240" w:lineRule="auto"/>
    </w:pPr>
    <w:rPr>
      <w:rFonts w:ascii="Calibri" w:eastAsia="Calibri" w:hAnsi="Calibri" w:cs="Times New Roman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1</cp:revision>
  <dcterms:created xsi:type="dcterms:W3CDTF">2021-08-06T18:25:00Z</dcterms:created>
  <dcterms:modified xsi:type="dcterms:W3CDTF">2021-08-06T18:39:00Z</dcterms:modified>
</cp:coreProperties>
</file>