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34" w:rsidRDefault="00027E34" w:rsidP="0092137B">
      <w:pPr>
        <w:jc w:val="both"/>
        <w:rPr>
          <w:rFonts w:ascii="Arial" w:hAnsi="Arial" w:cs="Arial"/>
          <w:bCs/>
        </w:rPr>
      </w:pPr>
      <w:r w:rsidRPr="0092137B">
        <w:rPr>
          <w:rFonts w:ascii="Arial" w:hAnsi="Arial" w:cs="Arial"/>
        </w:rPr>
        <w:t>Los agentes antimic</w:t>
      </w:r>
      <w:r w:rsidR="007A4226">
        <w:rPr>
          <w:rFonts w:ascii="Arial" w:hAnsi="Arial" w:cs="Arial"/>
        </w:rPr>
        <w:t xml:space="preserve">robianos </w:t>
      </w:r>
      <w:r w:rsidRPr="0092137B">
        <w:rPr>
          <w:rFonts w:ascii="Arial" w:hAnsi="Arial" w:cs="Arial"/>
        </w:rPr>
        <w:t>son esenciales para preservar la </w:t>
      </w:r>
      <w:r w:rsidRPr="0092137B">
        <w:rPr>
          <w:rFonts w:ascii="Arial" w:hAnsi="Arial" w:cs="Arial"/>
          <w:bCs/>
        </w:rPr>
        <w:t>salud humana </w:t>
      </w:r>
      <w:r w:rsidRPr="0092137B">
        <w:rPr>
          <w:rFonts w:ascii="Arial" w:hAnsi="Arial" w:cs="Arial"/>
        </w:rPr>
        <w:t>y </w:t>
      </w:r>
      <w:r w:rsidRPr="0092137B">
        <w:rPr>
          <w:rFonts w:ascii="Arial" w:hAnsi="Arial" w:cs="Arial"/>
          <w:bCs/>
        </w:rPr>
        <w:t>la sanidad animal</w:t>
      </w:r>
      <w:r w:rsidRPr="0092137B">
        <w:rPr>
          <w:rFonts w:ascii="Arial" w:hAnsi="Arial" w:cs="Arial"/>
        </w:rPr>
        <w:t>, así como el </w:t>
      </w:r>
      <w:r w:rsidRPr="0092137B">
        <w:rPr>
          <w:rFonts w:ascii="Arial" w:hAnsi="Arial" w:cs="Arial"/>
          <w:bCs/>
        </w:rPr>
        <w:t>bienestar animal.</w:t>
      </w:r>
    </w:p>
    <w:p w:rsidR="0092137B" w:rsidRPr="0092137B" w:rsidRDefault="0092137B" w:rsidP="0092137B">
      <w:pPr>
        <w:jc w:val="both"/>
        <w:rPr>
          <w:rFonts w:ascii="Arial" w:hAnsi="Arial" w:cs="Arial"/>
          <w:bCs/>
        </w:rPr>
      </w:pPr>
    </w:p>
    <w:p w:rsidR="00D075D7" w:rsidRPr="0092137B" w:rsidRDefault="008E4013" w:rsidP="00D075D7">
      <w:pPr>
        <w:jc w:val="both"/>
        <w:rPr>
          <w:rFonts w:ascii="Arial" w:hAnsi="Arial" w:cs="Arial"/>
          <w:bdr w:val="none" w:sz="0" w:space="0" w:color="auto" w:frame="1"/>
        </w:rPr>
      </w:pPr>
      <w:r w:rsidRPr="0092137B">
        <w:rPr>
          <w:rFonts w:ascii="Arial" w:hAnsi="Arial" w:cs="Arial"/>
        </w:rPr>
        <w:t xml:space="preserve">La resistencia a los antimicrobianos </w:t>
      </w:r>
      <w:r w:rsidR="00D075D7" w:rsidRPr="0092137B">
        <w:rPr>
          <w:rFonts w:ascii="Arial" w:hAnsi="Arial" w:cs="Arial"/>
          <w:bdr w:val="none" w:sz="0" w:space="0" w:color="auto" w:frame="1"/>
        </w:rPr>
        <w:t xml:space="preserve">o </w:t>
      </w:r>
      <w:proofErr w:type="spellStart"/>
      <w:r w:rsidR="00D075D7" w:rsidRPr="0092137B">
        <w:rPr>
          <w:rFonts w:ascii="Arial" w:hAnsi="Arial" w:cs="Arial"/>
          <w:bdr w:val="none" w:sz="0" w:space="0" w:color="auto" w:frame="1"/>
        </w:rPr>
        <w:t>farmacorresistencia</w:t>
      </w:r>
      <w:proofErr w:type="spellEnd"/>
      <w:r w:rsidR="00D075D7">
        <w:rPr>
          <w:rFonts w:ascii="Arial" w:hAnsi="Arial" w:cs="Arial"/>
          <w:bdr w:val="none" w:sz="0" w:space="0" w:color="auto" w:frame="1"/>
        </w:rPr>
        <w:t>,</w:t>
      </w:r>
      <w:r w:rsidR="00D075D7" w:rsidRPr="0092137B">
        <w:rPr>
          <w:rFonts w:ascii="Arial" w:hAnsi="Arial" w:cs="Arial"/>
          <w:bdr w:val="none" w:sz="0" w:space="0" w:color="auto" w:frame="1"/>
        </w:rPr>
        <w:t xml:space="preserve"> </w:t>
      </w:r>
      <w:r w:rsidRPr="0092137B">
        <w:rPr>
          <w:rFonts w:ascii="Arial" w:hAnsi="Arial" w:cs="Arial"/>
        </w:rPr>
        <w:t xml:space="preserve">es el fenómeno por el cual un </w:t>
      </w:r>
      <w:r w:rsidR="00D075D7" w:rsidRPr="0092137B">
        <w:rPr>
          <w:rFonts w:ascii="Arial" w:hAnsi="Arial" w:cs="Arial"/>
        </w:rPr>
        <w:t>microorganismo,</w:t>
      </w:r>
      <w:r w:rsidR="00D075D7" w:rsidRPr="0092137B">
        <w:rPr>
          <w:rFonts w:ascii="Arial" w:hAnsi="Arial" w:cs="Arial"/>
          <w:bdr w:val="none" w:sz="0" w:space="0" w:color="auto" w:frame="1"/>
        </w:rPr>
        <w:t xml:space="preserve"> sean bacterias, virus, hongos o parásitos</w:t>
      </w:r>
      <w:r w:rsidR="00D075D7">
        <w:rPr>
          <w:rFonts w:ascii="Arial" w:hAnsi="Arial" w:cs="Arial"/>
          <w:bdr w:val="none" w:sz="0" w:space="0" w:color="auto" w:frame="1"/>
        </w:rPr>
        <w:t>,</w:t>
      </w:r>
      <w:r w:rsidR="00D075D7" w:rsidRPr="0092137B">
        <w:rPr>
          <w:rFonts w:ascii="Arial" w:hAnsi="Arial" w:cs="Arial"/>
        </w:rPr>
        <w:t xml:space="preserve"> </w:t>
      </w:r>
      <w:r w:rsidRPr="0092137B">
        <w:rPr>
          <w:rFonts w:ascii="Arial" w:hAnsi="Arial" w:cs="Arial"/>
        </w:rPr>
        <w:t>deja de ser afectado por un antimicrobiano al que anteriormente era sensible. Es consecuencia de la capaci</w:t>
      </w:r>
      <w:r w:rsidR="006C6FD7">
        <w:rPr>
          <w:rFonts w:ascii="Arial" w:hAnsi="Arial" w:cs="Arial"/>
        </w:rPr>
        <w:t xml:space="preserve">dad de ciertos microorganismos </w:t>
      </w:r>
      <w:r w:rsidRPr="0092137B">
        <w:rPr>
          <w:rFonts w:ascii="Arial" w:hAnsi="Arial" w:cs="Arial"/>
        </w:rPr>
        <w:t>de neut</w:t>
      </w:r>
      <w:r w:rsidR="006C6FD7">
        <w:rPr>
          <w:rFonts w:ascii="Arial" w:hAnsi="Arial" w:cs="Arial"/>
        </w:rPr>
        <w:t xml:space="preserve">ralizar el efecto de los </w:t>
      </w:r>
      <w:r w:rsidR="006C6FD7" w:rsidRPr="0092137B">
        <w:rPr>
          <w:rFonts w:ascii="Arial" w:hAnsi="Arial" w:cs="Arial"/>
          <w:bdr w:val="none" w:sz="0" w:space="0" w:color="auto" w:frame="1"/>
        </w:rPr>
        <w:t>medicamentos antibacterianos, antivirales, antiparasitarios y fungicidas</w:t>
      </w:r>
      <w:r w:rsidRPr="0092137B">
        <w:rPr>
          <w:rFonts w:ascii="Arial" w:hAnsi="Arial" w:cs="Arial"/>
        </w:rPr>
        <w:t>. La resistencia surge por la mutación del microorganismo o por la adquisición del gen de resistencia.</w:t>
      </w:r>
      <w:r w:rsidR="00D075D7" w:rsidRPr="0092137B">
        <w:rPr>
          <w:rFonts w:ascii="Arial" w:hAnsi="Arial" w:cs="Arial"/>
          <w:bdr w:val="none" w:sz="0" w:space="0" w:color="auto" w:frame="1"/>
        </w:rPr>
        <w:t xml:space="preserve"> Los microorganismos resistentes a la mayoría de los antimicrobianos se conocen como ultrarresistentes. </w:t>
      </w:r>
    </w:p>
    <w:p w:rsidR="0092137B" w:rsidRPr="0092137B" w:rsidRDefault="0092137B" w:rsidP="0092137B">
      <w:pPr>
        <w:jc w:val="both"/>
        <w:rPr>
          <w:rFonts w:ascii="Arial" w:hAnsi="Arial" w:cs="Arial"/>
        </w:rPr>
      </w:pPr>
    </w:p>
    <w:p w:rsidR="00DE69B1" w:rsidRPr="0092137B" w:rsidRDefault="00DE69B1" w:rsidP="0092137B">
      <w:pPr>
        <w:jc w:val="both"/>
        <w:rPr>
          <w:rFonts w:ascii="Arial" w:hAnsi="Arial" w:cs="Arial"/>
          <w:bdr w:val="none" w:sz="0" w:space="0" w:color="auto" w:frame="1"/>
        </w:rPr>
      </w:pPr>
      <w:r w:rsidRPr="0092137B">
        <w:rPr>
          <w:rFonts w:ascii="Arial" w:hAnsi="Arial" w:cs="Arial"/>
          <w:bdr w:val="none" w:sz="0" w:space="0" w:color="auto" w:frame="1"/>
        </w:rPr>
        <w:t xml:space="preserve">La resistencia a los antimicrobianos </w:t>
      </w:r>
      <w:bookmarkStart w:id="0" w:name="_GoBack"/>
      <w:bookmarkEnd w:id="0"/>
      <w:r w:rsidRPr="0092137B">
        <w:rPr>
          <w:rFonts w:ascii="Arial" w:hAnsi="Arial" w:cs="Arial"/>
          <w:bdr w:val="none" w:sz="0" w:space="0" w:color="auto" w:frame="1"/>
        </w:rPr>
        <w:t xml:space="preserve">es el término más amplio para la resistencia de diferentes tipos de microorganismos y abarca la resistencia a los medicamentos antibacterianos, antivirales, antiparasitarios y fungicidas. </w:t>
      </w:r>
      <w:r w:rsidR="0092137B" w:rsidRPr="0092137B">
        <w:rPr>
          <w:rFonts w:ascii="Arial" w:hAnsi="Arial" w:cs="Arial"/>
          <w:bdr w:val="none" w:sz="0" w:space="0" w:color="auto" w:frame="1"/>
        </w:rPr>
        <w:t>S</w:t>
      </w:r>
      <w:r w:rsidRPr="0092137B">
        <w:rPr>
          <w:rFonts w:ascii="Arial" w:hAnsi="Arial" w:cs="Arial"/>
          <w:bdr w:val="none" w:sz="0" w:space="0" w:color="auto" w:frame="1"/>
        </w:rPr>
        <w:t xml:space="preserve">e produce cuando los microorganismos, sean bacterias, virus, hongos o parásitos, </w:t>
      </w:r>
    </w:p>
    <w:p w:rsidR="008E4013" w:rsidRPr="0092137B" w:rsidRDefault="008E4013" w:rsidP="0092137B">
      <w:pPr>
        <w:rPr>
          <w:bdr w:val="none" w:sz="0" w:space="0" w:color="auto" w:frame="1"/>
        </w:rPr>
      </w:pPr>
    </w:p>
    <w:p w:rsidR="00027E34" w:rsidRDefault="00027E34" w:rsidP="0092137B">
      <w:pPr>
        <w:jc w:val="both"/>
        <w:rPr>
          <w:rFonts w:ascii="Arial" w:hAnsi="Arial" w:cs="Arial"/>
        </w:rPr>
      </w:pPr>
      <w:r w:rsidRPr="0092137B">
        <w:rPr>
          <w:rFonts w:ascii="Arial" w:hAnsi="Arial" w:cs="Arial"/>
        </w:rPr>
        <w:t>Un </w:t>
      </w:r>
      <w:r w:rsidRPr="0092137B">
        <w:rPr>
          <w:rFonts w:ascii="Arial" w:hAnsi="Arial" w:cs="Arial"/>
          <w:bCs/>
        </w:rPr>
        <w:t>uso excesivo o inadecuado</w:t>
      </w:r>
      <w:r w:rsidR="008E4013" w:rsidRPr="0092137B">
        <w:rPr>
          <w:rFonts w:ascii="Arial" w:hAnsi="Arial" w:cs="Arial"/>
        </w:rPr>
        <w:t> de los mismos puede provocar</w:t>
      </w:r>
      <w:r w:rsidRPr="0092137B">
        <w:rPr>
          <w:rFonts w:ascii="Arial" w:hAnsi="Arial" w:cs="Arial"/>
        </w:rPr>
        <w:t xml:space="preserve"> la aparición de </w:t>
      </w:r>
      <w:r w:rsidRPr="0092137B">
        <w:rPr>
          <w:rFonts w:ascii="Arial" w:hAnsi="Arial" w:cs="Arial"/>
          <w:bCs/>
        </w:rPr>
        <w:t>bacterias resistentes</w:t>
      </w:r>
      <w:r w:rsidRPr="0092137B">
        <w:rPr>
          <w:rFonts w:ascii="Arial" w:hAnsi="Arial" w:cs="Arial"/>
        </w:rPr>
        <w:t> a la acción de estos fármacos, como se ha podido observar en el transcurso de las últimas décadas. Este fenómeno, que se denomina </w:t>
      </w:r>
      <w:r w:rsidRPr="0092137B">
        <w:rPr>
          <w:rFonts w:ascii="Arial" w:hAnsi="Arial" w:cs="Arial"/>
          <w:bCs/>
        </w:rPr>
        <w:t>resistencia a los antimicrobianos, y que pone en riesgo</w:t>
      </w:r>
      <w:r w:rsidRPr="0092137B">
        <w:rPr>
          <w:rFonts w:ascii="Arial" w:hAnsi="Arial" w:cs="Arial"/>
        </w:rPr>
        <w:t> el control de las enfermedades en todo el mundo, supone una preocupación de primer nivel tanto para la salud humana como para la sanidad animal.</w:t>
      </w:r>
    </w:p>
    <w:p w:rsidR="0017740D" w:rsidRPr="0017740D" w:rsidRDefault="0017740D" w:rsidP="0017740D">
      <w:pPr>
        <w:jc w:val="both"/>
        <w:rPr>
          <w:rFonts w:ascii="Arial" w:hAnsi="Arial" w:cs="Arial"/>
        </w:rPr>
      </w:pPr>
    </w:p>
    <w:p w:rsidR="00A27A17" w:rsidRDefault="00A27A17" w:rsidP="00955EFC">
      <w:pPr>
        <w:jc w:val="both"/>
        <w:rPr>
          <w:rFonts w:ascii="Arial" w:hAnsi="Arial" w:cs="Arial"/>
        </w:rPr>
      </w:pPr>
      <w:r w:rsidRPr="0017740D">
        <w:rPr>
          <w:rFonts w:ascii="Arial" w:hAnsi="Arial" w:cs="Arial"/>
        </w:rPr>
        <w:t xml:space="preserve">La Organización Mundial de la Salud (OMS) recomienda que </w:t>
      </w:r>
      <w:proofErr w:type="gramStart"/>
      <w:r w:rsidRPr="0017740D">
        <w:rPr>
          <w:rFonts w:ascii="Arial" w:hAnsi="Arial" w:cs="Arial"/>
        </w:rPr>
        <w:t>las industrias agropecuaria</w:t>
      </w:r>
      <w:proofErr w:type="gramEnd"/>
      <w:r w:rsidRPr="0017740D">
        <w:rPr>
          <w:rFonts w:ascii="Arial" w:hAnsi="Arial" w:cs="Arial"/>
        </w:rPr>
        <w:t>, piscicultora y alimentaria dejen de utilizar sistemáticamente antibióticos para estimular el crecimiento y prevenir enfermedades en animales sanos.</w:t>
      </w:r>
      <w:r w:rsidR="00955EFC">
        <w:rPr>
          <w:rFonts w:ascii="Arial" w:hAnsi="Arial" w:cs="Arial"/>
        </w:rPr>
        <w:t xml:space="preserve"> </w:t>
      </w:r>
      <w:r w:rsidRPr="0017740D">
        <w:rPr>
          <w:rFonts w:ascii="Arial" w:hAnsi="Arial" w:cs="Arial"/>
        </w:rPr>
        <w:t xml:space="preserve">Las nuevas recomendaciones de la OMS tienen como finalidad preservar la eficacia de los antibióticos importantes para la medicina humana reduciendo su uso innecesario en animales. </w:t>
      </w:r>
    </w:p>
    <w:p w:rsidR="0092137B" w:rsidRPr="0017740D" w:rsidRDefault="0092137B" w:rsidP="0017740D">
      <w:pPr>
        <w:jc w:val="both"/>
        <w:rPr>
          <w:rFonts w:ascii="Arial" w:hAnsi="Arial" w:cs="Arial"/>
        </w:rPr>
      </w:pPr>
    </w:p>
    <w:p w:rsidR="00027E34" w:rsidRDefault="00027E34" w:rsidP="0092137B">
      <w:pPr>
        <w:jc w:val="both"/>
        <w:rPr>
          <w:rFonts w:ascii="Arial" w:hAnsi="Arial" w:cs="Arial"/>
        </w:rPr>
      </w:pPr>
      <w:r w:rsidRPr="0092137B">
        <w:rPr>
          <w:rFonts w:ascii="Arial" w:hAnsi="Arial" w:cs="Arial"/>
        </w:rPr>
        <w:t>La única forma de preservar </w:t>
      </w:r>
      <w:r w:rsidRPr="0092137B">
        <w:rPr>
          <w:rFonts w:ascii="Arial" w:hAnsi="Arial" w:cs="Arial"/>
          <w:bCs/>
        </w:rPr>
        <w:t>la eficacia</w:t>
      </w:r>
      <w:r w:rsidRPr="0092137B">
        <w:rPr>
          <w:rFonts w:ascii="Arial" w:hAnsi="Arial" w:cs="Arial"/>
        </w:rPr>
        <w:t> de estos valiosos medicamentos en los animales es garantizar un</w:t>
      </w:r>
      <w:r w:rsidRPr="0092137B">
        <w:rPr>
          <w:rFonts w:ascii="Arial" w:hAnsi="Arial" w:cs="Arial"/>
          <w:bCs/>
        </w:rPr>
        <w:t> </w:t>
      </w:r>
      <w:hyperlink r:id="rId6" w:history="1">
        <w:r w:rsidRPr="0092137B">
          <w:rPr>
            <w:rStyle w:val="Hipervnculo"/>
            <w:rFonts w:ascii="Arial" w:hAnsi="Arial" w:cs="Arial"/>
            <w:bCs/>
            <w:color w:val="auto"/>
            <w:u w:val="none"/>
          </w:rPr>
          <w:t>uso responsable y prudente</w:t>
        </w:r>
      </w:hyperlink>
      <w:r w:rsidRPr="0092137B">
        <w:rPr>
          <w:rFonts w:ascii="Arial" w:hAnsi="Arial" w:cs="Arial"/>
        </w:rPr>
        <w:t> respetando las </w:t>
      </w:r>
      <w:hyperlink r:id="rId7" w:history="1">
        <w:r w:rsidRPr="0092137B">
          <w:rPr>
            <w:rStyle w:val="Hipervnculo"/>
            <w:rFonts w:ascii="Arial" w:hAnsi="Arial" w:cs="Arial"/>
            <w:bCs/>
            <w:color w:val="auto"/>
            <w:u w:val="none"/>
          </w:rPr>
          <w:t xml:space="preserve">normas </w:t>
        </w:r>
        <w:r w:rsidR="008E4013" w:rsidRPr="0092137B">
          <w:rPr>
            <w:rStyle w:val="Hipervnculo"/>
            <w:rFonts w:ascii="Arial" w:hAnsi="Arial" w:cs="Arial"/>
            <w:bCs/>
            <w:color w:val="auto"/>
            <w:u w:val="none"/>
          </w:rPr>
          <w:t xml:space="preserve">nacionales e </w:t>
        </w:r>
        <w:r w:rsidRPr="0092137B">
          <w:rPr>
            <w:rStyle w:val="Hipervnculo"/>
            <w:rFonts w:ascii="Arial" w:hAnsi="Arial" w:cs="Arial"/>
            <w:bCs/>
            <w:color w:val="auto"/>
            <w:u w:val="none"/>
          </w:rPr>
          <w:t xml:space="preserve">internacionales de la </w:t>
        </w:r>
        <w:r w:rsidR="008E4013" w:rsidRPr="0092137B">
          <w:rPr>
            <w:rStyle w:val="Hipervnculo"/>
            <w:rFonts w:ascii="Arial" w:hAnsi="Arial" w:cs="Arial"/>
            <w:bCs/>
            <w:color w:val="auto"/>
            <w:u w:val="none"/>
          </w:rPr>
          <w:t>Organización Mundial de Sanidad Animal (</w:t>
        </w:r>
        <w:r w:rsidRPr="0092137B">
          <w:rPr>
            <w:rStyle w:val="Hipervnculo"/>
            <w:rFonts w:ascii="Arial" w:hAnsi="Arial" w:cs="Arial"/>
            <w:bCs/>
            <w:color w:val="auto"/>
            <w:u w:val="none"/>
          </w:rPr>
          <w:t>OIE</w:t>
        </w:r>
      </w:hyperlink>
      <w:r w:rsidR="008E4013" w:rsidRPr="0092137B">
        <w:rPr>
          <w:rFonts w:ascii="Arial" w:hAnsi="Arial" w:cs="Arial"/>
        </w:rPr>
        <w:t>)</w:t>
      </w:r>
      <w:r w:rsidRPr="0092137B">
        <w:rPr>
          <w:rFonts w:ascii="Arial" w:hAnsi="Arial" w:cs="Arial"/>
        </w:rPr>
        <w:t>.</w:t>
      </w:r>
      <w:r w:rsidR="00955EFC">
        <w:rPr>
          <w:rFonts w:ascii="Arial" w:hAnsi="Arial" w:cs="Arial"/>
        </w:rPr>
        <w:t xml:space="preserve"> </w:t>
      </w:r>
      <w:r w:rsidRPr="0092137B">
        <w:rPr>
          <w:rFonts w:ascii="Arial" w:hAnsi="Arial" w:cs="Arial"/>
        </w:rPr>
        <w:t>Para ello, es indispensable contar con </w:t>
      </w:r>
      <w:hyperlink r:id="rId8" w:history="1">
        <w:r w:rsidRPr="0092137B">
          <w:rPr>
            <w:rStyle w:val="Hipervnculo"/>
            <w:rFonts w:ascii="Arial" w:hAnsi="Arial" w:cs="Arial"/>
            <w:bCs/>
            <w:color w:val="auto"/>
            <w:u w:val="none"/>
          </w:rPr>
          <w:t>acciones coordinadas</w:t>
        </w:r>
      </w:hyperlink>
      <w:r w:rsidRPr="0092137B">
        <w:rPr>
          <w:rFonts w:ascii="Arial" w:hAnsi="Arial" w:cs="Arial"/>
        </w:rPr>
        <w:t> entre los sectores de la salud humana, la sanidad animal y la salud medioambiental.</w:t>
      </w:r>
    </w:p>
    <w:p w:rsidR="00955EFC" w:rsidRDefault="00955EFC" w:rsidP="0092137B">
      <w:pPr>
        <w:jc w:val="both"/>
        <w:rPr>
          <w:rFonts w:ascii="Arial" w:hAnsi="Arial" w:cs="Arial"/>
        </w:rPr>
      </w:pPr>
    </w:p>
    <w:p w:rsidR="00F92123" w:rsidRDefault="00F92123" w:rsidP="0092137B">
      <w:pPr>
        <w:jc w:val="both"/>
        <w:rPr>
          <w:rFonts w:ascii="Arial" w:hAnsi="Arial" w:cs="Arial"/>
          <w:lang w:eastAsia="es-PA"/>
        </w:rPr>
      </w:pPr>
      <w:r w:rsidRPr="0092137B">
        <w:rPr>
          <w:rFonts w:ascii="Arial" w:hAnsi="Arial" w:cs="Arial"/>
          <w:lang w:eastAsia="es-PA"/>
        </w:rPr>
        <w:t xml:space="preserve">En la 68.ª Asamblea Mundial de la Salud celebrada en mayo de 2015 se aprobó un plan de acción mundial para luchar contra la resistencia a los antimicrobianos, incluida la resistencia a los antibióticos, que es el tipo de </w:t>
      </w:r>
      <w:proofErr w:type="spellStart"/>
      <w:r w:rsidRPr="0092137B">
        <w:rPr>
          <w:rFonts w:ascii="Arial" w:hAnsi="Arial" w:cs="Arial"/>
          <w:lang w:eastAsia="es-PA"/>
        </w:rPr>
        <w:t>far</w:t>
      </w:r>
      <w:r w:rsidR="00A54D90">
        <w:rPr>
          <w:rFonts w:ascii="Arial" w:hAnsi="Arial" w:cs="Arial"/>
          <w:lang w:eastAsia="es-PA"/>
        </w:rPr>
        <w:t>macorresistencia</w:t>
      </w:r>
      <w:proofErr w:type="spellEnd"/>
      <w:r w:rsidR="00A54D90">
        <w:rPr>
          <w:rFonts w:ascii="Arial" w:hAnsi="Arial" w:cs="Arial"/>
          <w:lang w:eastAsia="es-PA"/>
        </w:rPr>
        <w:t xml:space="preserve"> que más urge controlar</w:t>
      </w:r>
      <w:r w:rsidRPr="0092137B">
        <w:rPr>
          <w:rFonts w:ascii="Arial" w:hAnsi="Arial" w:cs="Arial"/>
          <w:lang w:eastAsia="es-PA"/>
        </w:rPr>
        <w:t>.</w:t>
      </w:r>
    </w:p>
    <w:p w:rsidR="0092137B" w:rsidRPr="0092137B" w:rsidRDefault="0092137B" w:rsidP="0092137B">
      <w:pPr>
        <w:jc w:val="both"/>
        <w:rPr>
          <w:rFonts w:ascii="Arial" w:hAnsi="Arial" w:cs="Arial"/>
          <w:lang w:eastAsia="es-PA"/>
        </w:rPr>
      </w:pPr>
    </w:p>
    <w:p w:rsidR="0092137B" w:rsidRPr="0092137B" w:rsidRDefault="00027E34" w:rsidP="0092137B">
      <w:pPr>
        <w:jc w:val="both"/>
        <w:rPr>
          <w:rFonts w:ascii="Arial" w:hAnsi="Arial" w:cs="Arial"/>
        </w:rPr>
      </w:pPr>
      <w:r w:rsidRPr="0092137B">
        <w:rPr>
          <w:rFonts w:ascii="Arial" w:hAnsi="Arial" w:cs="Arial"/>
          <w:bCs/>
          <w:lang w:eastAsia="es-PA"/>
        </w:rPr>
        <w:t>E</w:t>
      </w:r>
      <w:r w:rsidR="00F92123" w:rsidRPr="0092137B">
        <w:rPr>
          <w:rFonts w:ascii="Arial" w:hAnsi="Arial" w:cs="Arial"/>
          <w:bCs/>
          <w:lang w:eastAsia="es-PA"/>
        </w:rPr>
        <w:t>n el Plan de acción mundial se establecen cinco objetivos estratégicos:</w:t>
      </w:r>
    </w:p>
    <w:p w:rsidR="0092137B" w:rsidRPr="0092137B" w:rsidRDefault="00027E34" w:rsidP="0092137B">
      <w:pPr>
        <w:rPr>
          <w:rFonts w:ascii="Arial" w:hAnsi="Arial" w:cs="Arial"/>
        </w:rPr>
      </w:pPr>
      <w:r w:rsidRPr="0092137B">
        <w:rPr>
          <w:rFonts w:ascii="Arial" w:hAnsi="Arial" w:cs="Arial"/>
        </w:rPr>
        <w:t xml:space="preserve">1. </w:t>
      </w:r>
      <w:r w:rsidRPr="0092137B">
        <w:rPr>
          <w:rFonts w:ascii="Arial" w:hAnsi="Arial" w:cs="Arial"/>
          <w:bCs/>
        </w:rPr>
        <w:t xml:space="preserve">Mejorar el conocimiento </w:t>
      </w:r>
      <w:r w:rsidRPr="0092137B">
        <w:rPr>
          <w:rFonts w:ascii="Arial" w:hAnsi="Arial" w:cs="Arial"/>
        </w:rPr>
        <w:t xml:space="preserve">de la resistencia a los antimicrobianos a través de una </w:t>
      </w:r>
      <w:r w:rsidRPr="0092137B">
        <w:rPr>
          <w:rFonts w:ascii="Arial" w:hAnsi="Arial" w:cs="Arial"/>
          <w:bCs/>
        </w:rPr>
        <w:t>comunicación, educación y formación efectivas</w:t>
      </w:r>
      <w:r w:rsidRPr="0092137B">
        <w:rPr>
          <w:rFonts w:ascii="Arial" w:hAnsi="Arial" w:cs="Arial"/>
        </w:rPr>
        <w:t>, y la concienciación al respecto.</w:t>
      </w:r>
      <w:r w:rsidRPr="0092137B">
        <w:rPr>
          <w:rFonts w:ascii="Arial" w:hAnsi="Arial" w:cs="Arial"/>
        </w:rPr>
        <w:br/>
        <w:t xml:space="preserve">2. Reforzar los conocimientos y la </w:t>
      </w:r>
      <w:r w:rsidRPr="0092137B">
        <w:rPr>
          <w:rFonts w:ascii="Arial" w:hAnsi="Arial" w:cs="Arial"/>
          <w:bCs/>
        </w:rPr>
        <w:t xml:space="preserve">base científica </w:t>
      </w:r>
      <w:r w:rsidRPr="0092137B">
        <w:rPr>
          <w:rFonts w:ascii="Arial" w:hAnsi="Arial" w:cs="Arial"/>
        </w:rPr>
        <w:t>a través de la vigilancia y la investigación.</w:t>
      </w:r>
      <w:r w:rsidRPr="0092137B">
        <w:rPr>
          <w:rFonts w:ascii="Arial" w:hAnsi="Arial" w:cs="Arial"/>
        </w:rPr>
        <w:br/>
      </w:r>
      <w:r w:rsidRPr="0092137B">
        <w:rPr>
          <w:rFonts w:ascii="Arial" w:hAnsi="Arial" w:cs="Arial"/>
        </w:rPr>
        <w:lastRenderedPageBreak/>
        <w:t xml:space="preserve">3. Reducir la incidencia de las infecciones con medidas eficaces de </w:t>
      </w:r>
      <w:r w:rsidRPr="0092137B">
        <w:rPr>
          <w:rFonts w:ascii="Arial" w:hAnsi="Arial" w:cs="Arial"/>
          <w:bCs/>
        </w:rPr>
        <w:t>saneamiento, higiene y prevención de la infección</w:t>
      </w:r>
      <w:r w:rsidRPr="0092137B">
        <w:rPr>
          <w:rFonts w:ascii="Arial" w:hAnsi="Arial" w:cs="Arial"/>
        </w:rPr>
        <w:t>.</w:t>
      </w:r>
      <w:r w:rsidRPr="0092137B">
        <w:rPr>
          <w:rFonts w:ascii="Arial" w:hAnsi="Arial" w:cs="Arial"/>
        </w:rPr>
        <w:br/>
        <w:t>4</w:t>
      </w:r>
      <w:r w:rsidRPr="0092137B">
        <w:rPr>
          <w:rFonts w:ascii="Arial" w:hAnsi="Arial" w:cs="Arial"/>
          <w:bCs/>
        </w:rPr>
        <w:t xml:space="preserve">. Utilizar de forma óptima </w:t>
      </w:r>
      <w:r w:rsidRPr="0092137B">
        <w:rPr>
          <w:rFonts w:ascii="Arial" w:hAnsi="Arial" w:cs="Arial"/>
        </w:rPr>
        <w:t>los medicamentos antimicrobianos en la salud humana y animal.</w:t>
      </w:r>
      <w:r w:rsidRPr="0092137B">
        <w:rPr>
          <w:rFonts w:ascii="Arial" w:hAnsi="Arial" w:cs="Arial"/>
        </w:rPr>
        <w:br/>
        <w:t xml:space="preserve">5. Preparar argumentos económicos a favor de una inversión sostenible que tenga en cuenta las necesidades de todos los países, y aumentar </w:t>
      </w:r>
      <w:r w:rsidRPr="0092137B">
        <w:rPr>
          <w:rFonts w:ascii="Arial" w:hAnsi="Arial" w:cs="Arial"/>
          <w:bCs/>
        </w:rPr>
        <w:t xml:space="preserve">la inversión en nuevos medicamentos, medios de diagnóstico, vacunas </w:t>
      </w:r>
      <w:r w:rsidRPr="0092137B">
        <w:rPr>
          <w:rFonts w:ascii="Arial" w:hAnsi="Arial" w:cs="Arial"/>
        </w:rPr>
        <w:t>y otras intervenciones.</w:t>
      </w:r>
    </w:p>
    <w:p w:rsidR="0092137B" w:rsidRPr="0092137B" w:rsidRDefault="0092137B" w:rsidP="0092137B"/>
    <w:p w:rsidR="0092137B" w:rsidRPr="0092137B" w:rsidRDefault="0092137B" w:rsidP="0092137B">
      <w:pPr>
        <w:jc w:val="both"/>
        <w:rPr>
          <w:rFonts w:ascii="Arial" w:hAnsi="Arial" w:cs="Arial"/>
          <w:lang w:eastAsia="es-PA"/>
        </w:rPr>
      </w:pPr>
      <w:r w:rsidRPr="0092137B">
        <w:rPr>
          <w:rFonts w:ascii="Arial" w:hAnsi="Arial" w:cs="Arial"/>
          <w:lang w:eastAsia="es-PA"/>
        </w:rPr>
        <w:t>La resistencia a los antimicrobianos se está produciendo en todo el mundo; está minando nuestra capacidad para tratar las enfermedades infecciosas y socavando muchos otros avances en los ámbitos de la salud y la medicina. El objetivo del proyecto de plan de acción mundial es garantizar, mientras sea posible, la continuidad de la prevención y el tratamiento satisfactorios de las enfermedades infecciosas con medicamentos eficaces, seguros y de calidad garantizada, que se usen de modo responsable y sean accesibles a todos los que los necesiten.</w:t>
      </w:r>
    </w:p>
    <w:p w:rsidR="00B05166" w:rsidRPr="00954B06" w:rsidRDefault="00B05166" w:rsidP="00954B06">
      <w:pPr>
        <w:jc w:val="both"/>
        <w:rPr>
          <w:rFonts w:ascii="Arial" w:hAnsi="Arial" w:cs="Arial"/>
        </w:rPr>
      </w:pPr>
    </w:p>
    <w:sectPr w:rsidR="00B05166" w:rsidRPr="00954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481"/>
    <w:multiLevelType w:val="hybridMultilevel"/>
    <w:tmpl w:val="8D0A1B56"/>
    <w:lvl w:ilvl="0" w:tplc="F8D8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4D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B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2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9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E0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8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6D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840C5"/>
    <w:multiLevelType w:val="multilevel"/>
    <w:tmpl w:val="2C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A07AF"/>
    <w:multiLevelType w:val="hybridMultilevel"/>
    <w:tmpl w:val="F314F150"/>
    <w:lvl w:ilvl="0" w:tplc="1E76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C5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4C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2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C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07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0B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577022"/>
    <w:multiLevelType w:val="hybridMultilevel"/>
    <w:tmpl w:val="3052098A"/>
    <w:lvl w:ilvl="0" w:tplc="6244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8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65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4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E5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2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45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05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4F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0A45A0"/>
    <w:multiLevelType w:val="multilevel"/>
    <w:tmpl w:val="8A3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2286A"/>
    <w:multiLevelType w:val="hybridMultilevel"/>
    <w:tmpl w:val="35B4A600"/>
    <w:lvl w:ilvl="0" w:tplc="EE3E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5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C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6F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2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AF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A4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133CF3"/>
    <w:multiLevelType w:val="multilevel"/>
    <w:tmpl w:val="05A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622B5"/>
    <w:multiLevelType w:val="hybridMultilevel"/>
    <w:tmpl w:val="61BCEB6C"/>
    <w:lvl w:ilvl="0" w:tplc="2C14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EB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4D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EF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2A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A0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22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E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88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23"/>
    <w:rsid w:val="00027E34"/>
    <w:rsid w:val="000F7C84"/>
    <w:rsid w:val="0017740D"/>
    <w:rsid w:val="0023399D"/>
    <w:rsid w:val="005819BD"/>
    <w:rsid w:val="005D3FD7"/>
    <w:rsid w:val="006128B7"/>
    <w:rsid w:val="006573EE"/>
    <w:rsid w:val="00695DCC"/>
    <w:rsid w:val="006C6FD7"/>
    <w:rsid w:val="00770953"/>
    <w:rsid w:val="007A4226"/>
    <w:rsid w:val="008016B3"/>
    <w:rsid w:val="008568B1"/>
    <w:rsid w:val="008E4013"/>
    <w:rsid w:val="008F46B0"/>
    <w:rsid w:val="0092137B"/>
    <w:rsid w:val="00922FA4"/>
    <w:rsid w:val="00954B06"/>
    <w:rsid w:val="00955EFC"/>
    <w:rsid w:val="009568DD"/>
    <w:rsid w:val="009E2368"/>
    <w:rsid w:val="00A27A17"/>
    <w:rsid w:val="00A54D90"/>
    <w:rsid w:val="00A556B9"/>
    <w:rsid w:val="00A8426A"/>
    <w:rsid w:val="00B05166"/>
    <w:rsid w:val="00D075D7"/>
    <w:rsid w:val="00DE69B1"/>
    <w:rsid w:val="00E37E65"/>
    <w:rsid w:val="00F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06B586-4340-4254-8E80-2A88EC3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9D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92123"/>
    <w:pPr>
      <w:spacing w:before="100" w:beforeAutospacing="1" w:after="100" w:afterAutospacing="1"/>
      <w:outlineLvl w:val="2"/>
    </w:pPr>
    <w:rPr>
      <w:b/>
      <w:bCs/>
      <w:sz w:val="27"/>
      <w:szCs w:val="27"/>
      <w:lang w:eastAsia="es-P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99D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noProof/>
      <w:color w:val="2E74B5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semiHidden/>
    <w:rsid w:val="0023399D"/>
    <w:rPr>
      <w:rFonts w:ascii="Calibri Light" w:hAnsi="Calibri Light"/>
      <w:i/>
      <w:iCs/>
      <w:noProof/>
      <w:color w:val="2E74B5"/>
      <w:sz w:val="22"/>
      <w:szCs w:val="22"/>
    </w:rPr>
  </w:style>
  <w:style w:type="paragraph" w:styleId="Puesto">
    <w:name w:val="Title"/>
    <w:basedOn w:val="Normal"/>
    <w:next w:val="Normal"/>
    <w:link w:val="PuestoCar"/>
    <w:qFormat/>
    <w:rsid w:val="002339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3399D"/>
    <w:rPr>
      <w:rFonts w:ascii="Calibri Light" w:hAnsi="Calibri Light"/>
      <w:b/>
      <w:bCs/>
      <w:kern w:val="28"/>
      <w:sz w:val="32"/>
      <w:szCs w:val="32"/>
      <w:lang w:eastAsia="es-ES"/>
    </w:rPr>
  </w:style>
  <w:style w:type="character" w:styleId="Textoennegrita">
    <w:name w:val="Strong"/>
    <w:qFormat/>
    <w:rsid w:val="0023399D"/>
    <w:rPr>
      <w:b/>
      <w:bCs/>
    </w:rPr>
  </w:style>
  <w:style w:type="character" w:styleId="nfasis">
    <w:name w:val="Emphasis"/>
    <w:uiPriority w:val="20"/>
    <w:qFormat/>
    <w:rsid w:val="0023399D"/>
    <w:rPr>
      <w:i/>
      <w:iCs/>
    </w:rPr>
  </w:style>
  <w:style w:type="paragraph" w:styleId="Prrafodelista">
    <w:name w:val="List Paragraph"/>
    <w:basedOn w:val="Normal"/>
    <w:uiPriority w:val="34"/>
    <w:qFormat/>
    <w:rsid w:val="0023399D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F92123"/>
    <w:pPr>
      <w:spacing w:before="100" w:beforeAutospacing="1" w:after="100" w:afterAutospacing="1"/>
    </w:pPr>
    <w:rPr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F92123"/>
    <w:rPr>
      <w:b/>
      <w:bCs/>
      <w:sz w:val="27"/>
      <w:szCs w:val="27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F92123"/>
    <w:rPr>
      <w:color w:val="0000FF"/>
      <w:u w:val="single"/>
    </w:rPr>
  </w:style>
  <w:style w:type="paragraph" w:customStyle="1" w:styleId="align-justify">
    <w:name w:val="align-justify"/>
    <w:basedOn w:val="Normal"/>
    <w:rsid w:val="00027E34"/>
    <w:pPr>
      <w:spacing w:before="100" w:beforeAutospacing="1" w:after="100" w:afterAutospacing="1"/>
    </w:pPr>
    <w:rPr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E6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6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2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3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.int/es/para-los-periodistas/amr-es/press-releases-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ie.int/es/nuestra-experiencia-cientifica/productos-veterinarios/antimicrobian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ie.int/es/para-los-periodistas/amr-es/related-links-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2064-81B5-455E-93AF-2F1D3611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Hernández</dc:creator>
  <cp:lastModifiedBy>Mabet Lasso</cp:lastModifiedBy>
  <cp:revision>2</cp:revision>
  <cp:lastPrinted>2018-10-12T16:44:00Z</cp:lastPrinted>
  <dcterms:created xsi:type="dcterms:W3CDTF">2020-05-27T00:40:00Z</dcterms:created>
  <dcterms:modified xsi:type="dcterms:W3CDTF">2020-05-27T00:40:00Z</dcterms:modified>
</cp:coreProperties>
</file>